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in designing, developing, and implementing complex software solutions. Proficient in leveraging advanced technologies and frameworks such as Java, Spring Boot, Microservices, and Kafka to drive project success. Demonstrated ability to lead cross-functional teams in agile environments and deliver high-quality products on time. Highly skilled in testing strategies and methodologies, ensuring robust and scalable solutions across diverse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real-time data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message brokering, significantly improving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throughout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teams to deliver seamless web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design patterns, fostering a culture of knowledge sharing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services for data exchange between frontend and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application hosting, enhancing system availability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database queries, leading to a 20% reduction in latency during peak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and refined processes using Agile methodologies, enhancing team efficiency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integration and deployment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builds and testing.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enterprise-grade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security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accessibility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schemas and performance tuning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with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80% code coverage in major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ensuring adherence to timelines and delivering sprints-focused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integrate third-party APIs, enabling seamless functionality and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best practices in software development ensuring adherence to guidelines and code standards, to improve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software engineers in migrating legacy systems to modern architectures, resulting in improved overall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scalable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meeting strict performance benchmarks.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documentation and specification of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understanding and usage of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pair programming sessions to enhance code quality and foster collaborative development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through CI/CD pipelines, reducing manual intervention and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enabling efficient collaboration in large, distributed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cloud-native application development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skill set for modern software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Effectively delivered projects within stipulated deadlines, handling multiple competing priorities across projects, resulting in a 30% increase in delivery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JUnit 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Messaging &amp;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Kafka, RabbitMQ, RESTful APIs,  gRPC, SOAP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