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dedicated expertise in developing robust software applications. Proficient in a wide range of technologies including Java, Spring Boot, Microservices, and various cloud platforms. Proven track record in leading projects, optimizing systems, and enhancing user experiences through innovative solutions. Committed to leveraging cutting-edge technologies to drive operational improvements and achieve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Conceived and implemented a highly scalable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performance and reduced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seamless transitions and enhanced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increased interoperability among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software deployment process and significantly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enhancing user interface responsiveness and interactivity with state management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a robust test coverage that increased code reliability and reduced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improvement in response times in 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ensure project alignment and agile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laying foundations for infrastructure as code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Apache Kafka was integrated into the architecture to enhance real-time data processing capabilities across microservices applications.</w:t>
      </w:r>
      <w:r>
        <w:br/>
      </w:r>
      <w:r>
        <w:rPr>
          <w:rFonts w:asciiTheme="minorHAnsi" w:hAnsiTheme="minorHAnsi" w:cstheme="majorHAnsi"/>
          <w:lang w:val="en-US"/>
        </w:rPr>
        <w:t xml:space="preserve">Implemented security best practices for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along with OAuth2 protocols for secure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modular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significantly improving system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of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 optimization through effective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develop dynamic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experiences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implementing caching mechanisms, which resulted in a 25% reduction in database load during peak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ensured adherence to coding standards,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monitor code quality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for software solutions, ensuring clarity for future maintenance and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internal applications, improving functionality through enhanced features and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stakeholders to identify requirements and deliver solutions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multiple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addressing user needs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accessibility and mobile usability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while collaborating with team members, ensuring seamless software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managed deployment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deployment success rates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optimizing backend logic and database queries, leading to improved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Served as a key technical lead during project phases, managing a diverse team of developers and providing guidance. Over 60% of the projects delivered successfully met or exceeded client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Ansible, Terraform,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