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leveraging Java, Spring Boot, React, Docker, and Kubernetes to design scalable applications. Proven track record in architecture decisions and cross-team collaboration to enhance software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for cross-functional teams, ensuring alignment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release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regular code reviews and the implementation of OWASP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requirements, resulting in successful project delivery within set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for frontend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than 95%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improving the overall team capability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improve overall code quality, maintainability,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to monitor application performance, leading to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efforts in agile environment, contributing to four successful product launches.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component development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efficient coding practices and framework usage, significantly reducing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create user-friendly interfaces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identified and resolved performance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response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service offerings and improve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promoting innovative solutions based on industry trends.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maintenance and bug fixing, ensuring high application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implement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align on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technical debt through refactoring efforts and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