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experience, specializing in Python, FastAPI, React, and AWS. Proven track record in building real-time AI systems, infrastructure scaling, and delivering high-performance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AI interview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latency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low-latency audio/video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thousands of concurrent sessions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globally.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 orchestration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across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queue-driven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job execution and retry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infrastructure observability and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daily design reviews, ensuring code quality and adherance to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support enterprise integrations and security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resilience and reliability through in-depth testing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for complex retrieval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VectorDBs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several product features, developing full-stack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designing and implementing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promoting best coding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asynchronous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query performance and scaling solutions as required.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internal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secured external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observability tools for metrics and logging, facilitating a 20% reduction in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enhancing system architecture for scalability and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variety of core engineering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ensured high responsiveness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improving overall system stability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conducted performance testing to ensure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architecture with a 15% reduction in load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Next.js,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ClickHouse, InfluxDB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Orchestration &amp; Queues</w:t>
      </w:r>
      <w:r>
        <w:rPr>
          <w:rFonts w:asciiTheme="minorHAnsi" w:hAnsiTheme="minorHAnsi" w:cstheme="majorHAnsi"/>
          <w:lang w:val="en-US"/>
        </w:rPr>
        <w:t xml:space="preserve">: SQS, Temporal, Celery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Real-Time Technologies</w:t>
      </w:r>
      <w:r>
        <w:rPr>
          <w:rFonts w:asciiTheme="minorHAnsi" w:hAnsiTheme="minorHAnsi" w:cstheme="majorHAnsi"/>
          <w:lang w:val="en-US"/>
        </w:rPr>
        <w:t xml:space="preserve">: LiveKit, WebSockets, VectorDBs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