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efficient software solutions across diverse sectors. Proven expertise in Java, Spring Boot, and Microservices architecture, coupled with a strong background in Agile methodologies, unit testing, and continuous integration. Demonstrated capability in leading teams and mentoring junior developers to enhance productivity and code quality. Adept at using modern development stacks to deliver high-quality, scalable web applications and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Redux</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accessibility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Agile/Scrum environment to define, design, and ship new features, improving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techniques,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(AWS) into existing applications for enhanced scalability and availability, thus improving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Postman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API testing, demonstrating robustness and functionality in services developed.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daily stand-ups and sprint reviews, contributing to improved team communication and project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Framework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business processing and compliance with audit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containerization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Kubernetes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with dynamic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HTML5</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data encryption practices, ensuring compliance with industry standards and protecting sensitive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and increasing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design and architecture discussions, influencing technology choices and overall design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consistently delivering high-quality software features within sprint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 cycle from requirements gathering to deployment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teams to transition legacy systems to modern architecture,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Microservices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API-centric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improving application monitoring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ELK Stack</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troubleshooting and metrics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ensuring compliance with software development best practices and contributing to a culture of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and services for use across multiple projects, increasing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times by 30% through optimization of build and release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Maven</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