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Java and Spring Boot with a strong foundation in microservices architecture. Proven ability to design, develop, and deploy scalable solutions leveraging modern frameworks and technologies. Adept at building efficient back-end services with a commitment to optimizing application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REST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microservices architecture, achieving a streamlined data flow and efficient service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state management techniques to create responsive and efficient user interfaces tailored for healthcare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modern cloud-native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deployments, significantly reducing development time and errors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code profiling and optimization, employing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performance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reliable application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high-quality software solutions tailored to client specifications, focusing on user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on development projects, ensuring code integrity and facilitating team contributions.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flexible data management aligned with application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knowledge sharing sessions, fostering a culture of continuous improvement and technical excellence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architecture and interface specifications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them through project iterations.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data-driven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reliability in healthcare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front-end development, enabling improved user interactions and experiences with various healthcare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for seamless communication between front-end and back-end systems, enhancing system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development processes, participating in daily stand-ups and sprint planning to align team efforts with project goals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caching solutions that improved application response times by reducing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integrity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effective API services that integrated with third-party systems to facilitate data exchange and interoperability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testing strategies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improving testing coverage and reducing manual testing effort.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back-end processes that support client-server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modernizing legacy interfaces, enhancing the overall user experience and navigability.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SQL queries and stored procedures to optimize data retrieval processes for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integration modules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connectivity with external services and facilitating application extensibility.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performance tuning and optimizing SQL queries and Java applications to ensure reduced latency and enhanced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page load times by 30% through optimizing front-end code and implementing effective lazy loading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