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Python, Django, PostgreSQL, and React. Proven ability to lead architectural initiatives and guide teams through complex technical challenges, ensuring high-quality delivery. Skilled in creating scalable, maintainable code and fostering cross-functional collaboration. Adept at translating product vision into actionable technical strategies, with a strong emphasis on system design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high-availability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scalability and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outlining architectural decisions, system interactions, and performance considerations.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transition of legacy systems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engineers in building a rule engine and decision-making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culminating in improved functionality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and architectural guidelines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growth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seamless frontend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interactions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clarity and maintainability, nurturing developer skills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feature requirements, driving alignment between business objectives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financial data sync processes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accuracy in financial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features within a complex decisioning engine, ensuring seamless interactions with various service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specifications for new module development, facilitating clear communication among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all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successfully safeguarding user data and ensuring compliance with regulatory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standards,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redesigning the application architecture to support increased load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consumption, allowing clients to retrieve only the data they require effectively, improving overall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robust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efforts to deliver high-quality software solutions through agile methodologies and iterative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scrum meetings and sprint planning sessions to ensure project goals and timelines were met, driving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Concentrated on optimizing existing code through refactoring and implementing best practices, resulting in cleaner, more maintainable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 development, improving the team’s tech stack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analysis tools to identify bottlenecks, dramatically improving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Django REST Framework, React, React Native,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Jest,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