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full-cycle software development, specializing in Java, Python, AWS, and the Spring framework. Proven track record in building scalable applications and leading diverse teams. Expertise in CI/CD practices, Test-Driven Development (TDD), and Agile methodologies. Strong commitment to optimizing performance and enhancing reliability in production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over 15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new features, improving system modularity and reducing deployment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develop a high-traffic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by implementing robust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Refactoring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the development-to-production pipeline and achieving 95% uptime during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deployment cycles and reduced integration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features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web applications, ensuring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80% test coverage and reducing defects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proper authentication mechanisms, serving a backend for mobile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architectural improvements in quarterly reviews, demonstrating a significant reduction in technical debt and enhanced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mentoring junior developers in best practices and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features, fostering a knowledge-sharing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and stakeholders to clarify requirements and establish timelines for project delivery, maintaining an Agile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transaction processing time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architected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scalable solutions for complex business problems.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application functionality, engaging with services in finance and healthcare sectors.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persistence layers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performance and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application's adaptability and uptime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on system architecture and API usage, improving onboarding processes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in project management, leading sprints to deliver features timely and maintain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applications, achieving optimally low latency in user transactions through advanced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multi-layered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enforcing best practices in coding and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real-time analytics platform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microservices architecture, improving data insights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exploratory testing and performance profiling to identify bottlenecks within applications, reducing load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enhance user experience in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client's regular feedback sessions to refine product features and drive iterative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testing processes by introducing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UI testing, increasing QA coverage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Node.js, React,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JUnit 5, Mockito, Selenium,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