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backend systems development, specializing in Python, APIs, and SQL. Proven track record enhancing performance and scalability while driving innovative solutions in high-demand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scaled backend services for a high-volume fraud and compliance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fintech client systems,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domain logic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of transaction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LLM-powered features for case analysis and workflow automation, improving investigative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services end-to-end, managing architecture decisions related to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AI teams to refine platform capabilities via continuous feedback and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system observability and security across backend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enforce high engineering standards across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code quality and maintainability,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under increased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robustness before deployment.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internal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adopt best practices in backend development, focusing on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problem-solving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migrations and feature integrations, ensuring minimal downtime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driving clarity in project requirements and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performance bottlenecks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operations, elevating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and reduced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and support tools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for clients' integration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security enhancement measures, focusing on OWASP standards to safeguard sensitive data.</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predominantly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tasks from legacy systems to modern </w:t>
      </w:r>
      <w:r w:rsidRPr="00432203">
        <w:rPr>
          <w:rFonts w:asciiTheme="minorHAnsi" w:eastAsia="Times New Roman" w:hAnsiTheme="minorHAnsi" w:cs="Times New Roman"/>
          <w:b/>
          <w:bCs/>
          <w:lang w:val="en-US"/>
        </w:rPr>
        <w:t xml:space="preserve">microservice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develop cohesive solutions and deliverables, utilizing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ensuring code reliability in production environments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features through regular updates and bug fixes, improving system robustness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modeling efforts, leveraging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query performance for existing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Django,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 GraphQL, Event-Driven Architecture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Jest,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