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over 11 years of professional experience in AI solutions. Proficient in Python, TensorFlow, Keras, Pandas, and scikit-learn, specializing in developing scalable models and deep learning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machine learning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architect scalable AI solutions and optimize performance of machine learning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design reviews and code quality assessments, ensuring high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and train deep learning models for complex data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scientists, fostering knowledge sharing and professional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define project scope for AI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and CI/CD workflows, enhancing deployment efficiency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interpretable machine learning models, ensuring compliance with ethical standards in AI.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large datasets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deriving insights to guide business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models with web applications, enhancing user interactions and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model accuracy through hyperparameter tuning and feature engineering,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analytics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business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data science and machine learning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deep learning algorithms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machine learning concepts and best practices for internal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models, optimizing performance and reducing processing times by implementing efficient algorithms.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visualizations and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conveying data-driven insights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 integrity and quality through rigorous testing and validation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tooling for automating data preprocessing and model evaluation.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machine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 to support new analytical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migrations and integrations as part of system upgrades and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implement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troubleshooting and performance tuning for deployed machine learning models.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system performance, achieving a 30% reduction in processing time by optimizing queries.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scikit-learn, Pandas,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Data Science</w:t>
      </w:r>
      <w:r>
        <w:rPr>
          <w:rFonts w:asciiTheme="minorHAnsi" w:hAnsiTheme="minorHAnsi" w:cstheme="majorHAnsi"/>
          <w:lang w:val="en-US"/>
        </w:rPr>
        <w:t xml:space="preserve">: Deep Learning, Natural Language Processing, Computer Vision, Data Analysis, Model Deployment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Pytorch, Apache Spark, Elasticsearch, Tableau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