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Engineer with over 11 years of experience in designing, developing, and deploying scalable applications. Expertise in Java, SpringBoot, AWS, and microservices architecture with a proven track record in greenfield development. Proficient in both backend and frontend technologies, including React, TypeScript, and Next.JS. Exceptional communication skills with the ability to engage technical and non-technical stakeholders. Dedicated to delivering high-quality software solutions within fintech and financial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consumer-facing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microservices architecture, driving 70% backend and 30%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create clear requirements and effective application features,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facilitate communication between client and server systems—optimized for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user interfaces to ensure responsive and dynamic interactions with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 (IAC), promoting rapid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practices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robustness and reliability of the application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sharing insights and providing feedback to improve code quality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 of software updates, reducing deployment time by automating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streamlining development environments, making deployments more consistent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strong communication skills while presenting technical designs and solutions to non-technical stakeholders, facilitating better product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developing scalable solutions to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 architecture to enable seamless scaling and deployment of enterprise applications, supporting financial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cloud-native applications, leveraging services like EC2, S3, and RDS to ensure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data exchange between the application and third-party services, enhancing service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identify bugs early in the development lifecycle, improving overall development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refactoring initiatives that increased application performance by 30% through efficient memory management and optimized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collaborating with cross-functional teams to ensure swift product iterations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adaptation of new technologies,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application deployment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scalable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emphasizing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robust and trackable codebase management strategy.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interactive UI components that align with user experience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applications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enabling deployment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processes, significantly reducing integration issues and speeding up deployment cycles within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streamlining Docker setup and integration into existing CI/CD pipelines, achieving a more agile workflow. Ongoing oversight of deployment processes ensured a 40% increase in release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SpringBoot, React, Next.JS, Angular,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IAC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GraphQL, Microservices,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