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developing robust applications, specializing in Java, Spring, Hibernate, and RESTful services. Proficient in cloud native architectures and leveraging advanced data structures for high-performance applications. Proven expertise in leading development teams, optimizing software architectures, and implementing best practices throughout the software development lifecycle (SDLC). Adept at mentoring junior developers, performing rigorous testing, and deploying critical updates to ensure seamless functionality. Strong focus on delivering high-quality software solutions, effectively addressing client challenges, and driving continuous improvements in coding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application's data communication and processing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scalability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on multiple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efficiency and code maintainability through effective code reviews and mentoring.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improving database interaction and reducing boilerplate code, resulting in improved developer productivity and software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consumed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web services, facilitating seamless integration with third-party applications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coverage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 with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such as streams and lambdas, improving code readability and performance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enhancing user experience with dynamic and responsive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analysis on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latency reductions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smoother deployment processes and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clients to gather requirements and translate them into technical specifications, fostering improved client satisfaction and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clean architecture and effective code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enhancing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database transactions, improving the retrieval speed for high-volume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utilized Jira for project management, improving team collaboration and task tracking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extensive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and stability of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applications, providing a seamless transition to updated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coding practices and design patterns, fostering a learning environment and improving team capability.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monitoring and logging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 (Elasticsearch, Logstash, 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troubleshooting process and system observability.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server-side functionality and page load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web services for data-sharing capabilities, increasing application interoperability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profiling and optimization of existing systems, resulting in reduced response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analyze technical requirements, contributing to successful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code repositories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team workflows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uptime and reliability by implementing proactive monitoring solutions and incident response protocols, achieving a 99.9% availability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