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Java, Spring Boot, and Microservices architecture. Proven ability to lead development teams in building robust and scalable applications while ensuring the delivery of high-quality software through comprehensive testing practices. Demonstrated expertise in continuous integration and deployment (CI/CD) pipelines with tools such as Jenkins and Docker. Expertise in utilizing RESTful APIs and Cloud Services for seamless application performance. Strong background in database management using SQL and PostgreSQL along with proficiency in front-end technologies including Angular and HTML5/CSS3.</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30% performance increase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facilitate seamless communication between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deployment times by 40% with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stability and scalability via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regularly, which increased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cloud adoption rate of 50% within the first year.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modular application structure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requirements and timelines effectively through Agile methodologies, conducting regular Sprint meetings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measures for data protection in compliance with industry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access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Libraries to enhance application functionalities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using Java profiling tools, which resulted in a 15% reduction in time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from planning to implementation and maintenance,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increasing code coverage above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integration, facilitating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client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migrating monolithic applications to microservices architectures, ultimately improving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within a team to develop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design and management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fluid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code refactoring initiatives that improved application maintainability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that integrated with existing systems, allowing for effective data retrieval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delivering features iteratively and receiving feedback from product owners, which led to a 20% increase in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