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extensive experience in Java development and architecture. Proficient in modern frameworks and technologies including Spring Boot, Microservices, and Spring Cloud. Recognized for delivering high-quality solutions in Agile environments and driving successful project implementations with a focus on best practices in coding standards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11 to support various business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system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Java applications which resulted in improved response times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front-end framework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optimized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and behavior-driven development, improving test coverage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environment, participating in daily standups, sprint planning, and retrospectives to adapt and improve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refactored legacy code, reducing technical debt and improving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checks and performance metrics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tests, and deployments,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focusing on design patterns and coding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project processes and technical designs for knowledge sharing and onboarding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expand application capabilities, ensuring effective communication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optimizing database calls for performance and reliability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improvements based on feedback to maintain high code quality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testing and debugging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assurance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create data interfaces between applications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retrospectives and planning sessions to refine development processes and enhance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technologies and frameworks proactively, integrating them into existing projects to stay current with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intuitive interfaces and improve the user experience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of existing code, resolving issues in a timely manner while maintaining a focus 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within the team, promoting continuous feedback and iterative improvements to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more proactive approach in addressing software vulnerabilities, ensuring timely application security updates, resulting in a significant decrease in security incidents over time.  Successfully led multiple projects to completion within deadlines and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Spring MVC, Thymeleaf,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