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specializing in Ruby on Rails, React, and TypeScript. Proven track record in architecting and developing impactful SaaS applications for dynamic environments. Adept at enhancing system performance and user experience through scalable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features for </w:t>
      </w:r>
      <w:r w:rsidRPr="00432203">
        <w:rPr>
          <w:rFonts w:asciiTheme="minorHAnsi" w:hAnsiTheme="minorHAnsi" w:cstheme="majorHAnsi"/>
          <w:b/>
          <w:bCs/>
          <w:lang w:val="en-US"/>
        </w:rPr>
        <w:t xml:space="preserve">CMS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community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implement high-impact features, improving user journeys for millions.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asynchronous communication strategies for improved collaboration and feedback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and maintained code quality through rigorous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 coverage and design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workflows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Heroku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delivery of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of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architectural improvements, resulting in a 30% performance boost across our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to create intuitive UI components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for efficient data retrieval, streamlining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regular knowledge-sharing sessions to promote continuous learning and technical expertise.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enhancing accessibility features, ensuring compliance with web standards.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SaaS solutions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business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coding best practices and project workflows, boosting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product features based on user feedback, leading to increased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frameworks like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define feature specifications and prioritize development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components for user interfaces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deployment pipelines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release time by 20%.</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development of internal tools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in existing applications based on agile methodologies and user stories.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code reviews to maintain quality and consistency in development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systems and processes to facilitate knowledge transfer.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Troubleshot and debugged issues in existing applications, improving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retrospectives, contributing to overall team productivity.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Redux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Jest,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Docker, GitHub Actions, Heroku</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GraphQL, Webpack, Figma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