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11 years of experience in software development. Expertise in Ruby on Rails, React, PostgreSQL, and JavaScript. Proven track record of leading architecture and implementing scalable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of Cosign's rent guarantee platform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high-impact features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for landlords and renters.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on technical roadmap planning and design decision-making, enhancing overall product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reliability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best practices in clean code and component reusability.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achieving a 20% increase in API response times for critical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improve code quality and automated testing frameworks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APIs for seamless integration with external systems and internal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system monitoring strategies leveraging </w:t>
      </w:r>
      <w:r w:rsidRPr="00432203">
        <w:rPr>
          <w:rFonts w:asciiTheme="minorHAnsi" w:hAnsiTheme="minorHAnsi" w:cstheme="majorHAnsi"/>
          <w:b/>
          <w:bCs/>
          <w:lang w:val="en-US"/>
        </w:rPr>
        <w:t xml:space="preserve">AppSignal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and error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cross-functionally with leadership to align on technical strategies and architecture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technical standards for long-term platform scalability.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scalable web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satisfaction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feature development for complex functionalities, ensuring seamless product delivery and high-quality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improving overall team capability in frontend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code reviews focusing on performance optimization and maintainability of codebases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and data validation to ensure system integrity and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existing applications using REST APIs, enhancing user experience and system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and product managers to create a more user-friendly interface, increasing user retention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 performance, reducing load times by 20% through effective database indexing and caching.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robustness and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troubleshoot and resolve production issues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security throughout the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improving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enabling higher reliability of deployed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code to multiple projects, aiding in delivering a project ahead of schedule with successful outcomes.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Actions, Cloudflare, Render.com, AppSignal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Continuous Integration, Automated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