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in developing enterprise-grade software solutions. Strong proficiency in TypeScript, React, and AWS services. Proven expertise in integrating AI-powered tools and automating workflows for enhanced creativity and efficiency. Exceptional collaboration with cross-functional teams, driving innovation at the intersection of AI and design. Passionate about building robust applications that redefine creative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automation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creative production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text-to-image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workflow applications, enhancing user experience and efficiency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customer requirements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performance and reduced response time for enterprise-level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applications quickly while transitioning them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production-ready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rigorous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facilitating seamless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and enhanced APIs, ensuring smooth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Suite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creative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existing workflows to identify automation opportunities, leading to significant time savings for creative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a distributed team environment, enhancing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improving developer experience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incorporate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Suite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direct asset manipulation within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effective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of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AI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 in creative tools, pushing boundaries of AI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scalability improvements across various applications, ensuring they meet enterprise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pairs programming sessions to enhance code quality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presentations on AI integrations and best practices to equip team members with crucial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Captured user feedback and iterated on features, continuously improving application interfaces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cloud-based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 to support frontend requirements while ensuring compatibility with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management, establishing best practices for code contributions within agile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optimizing images and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leading to significant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intuitive user interfaces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designs while maintaining high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a successful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development, which streamlined the onboarding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a modern stack,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overall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S3, RDS, Lambda, EC2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OpenAI, Fal.ai, Figma API, Adobe Suite API, Socket.IO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