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Frontend Engineer with 11+ years of comprehensive expertise in building responsive and accessible web applications. Proficient in React Native, JavaScript, and TypeScript with a commitment to implementing robust accessibility standards (WCAG). Proven track record of mentoring teams and delivering high-quality user experiences while collaborating cross-functionally with product managers, designers, and clinical stakeholders.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responsive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accessible cross-platform mobile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enhancing user experience and compliance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teams to seamlessly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 frontend interactions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detailed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performance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integration and robust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emphasizing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maintainability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scalability in code architecture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for code management and collaborated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issues and pull request reviews to maintain quality assurances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systems for tracking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insights to drive data-driven decisions and refine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development workflows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automating deployment processes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inclusive design by implementing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our applications catered to diverse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proactively in cross-functional collaboration with product managers and designers to articulate technical requirements and propose innovative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enhance the integration between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Critiqued and refined existing workflows, leading to a measurable improvement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responsiveness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accessibility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contributed to team discussions on performance optimization and architectural decisions using techniques like lazy loading.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visually appealing and user-centric interfaces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styling.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introduction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significantly improving the quality and reliability of deployed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team productivity and streamline project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advanced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state management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flow and application performance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directly with clients to gather requirements, translating them into technical specifications and delivering optimal frontend solutions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accessibility audits, working closely with QA teams to ensure compliance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WCAG/A11y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innovative frontend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interactive applications that enhanced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and integration tests for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increased code coverage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cross-browser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strategies to ensure consistent performance across multiple environments and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a component library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promoted reuse and consistency across projects and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 while integrating newer technologies, allowing for seamless transitions and minimal disruptions.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significant increase in project deployment speed by enhancing existing workflows, resulting in a 30% reduction of turnaround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React Native, Redux, Next.js,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Cypress, Enzyme,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Babel, Node.js, npm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Accessibility Standards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WCAG, A11y, HIPAA, ARIA, JAWs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