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building high-performance applications using Java, Spring Boot, Microservices, AWS, and Docker. Proven expertise in architecting solutions with robust testing frameworks and CI/CD pipelines, ensuring high-quality delivery. Adept at collaborating in cross-functional teams to drive innovation while optimizing legacy systems with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solutions, focusing on low latency and high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deployment efficiency and simplifying environment replication.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 and cloud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code coverage above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front-end applications,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to the refinement of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client applications, reducing the number of network requests.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best practices for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features, which led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simplifying database interactions and optimizing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fortifying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and integration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reliability of deployed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introduced new technologies and tools (e.g.,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that improved application performance and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 design and optimization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contributed to sprint planning, aligning team objectives with product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achieving a smoother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SEO and initial load performance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resulted in a 20% reduction in system downtime after deploying an event-driven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