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all phases of software development lifecycle. Demonstrated expertise in developing scalable applications using cutting-edge technologies such as Java, Spring Boot, Microservices, Docker, and Kubernetes. Proven ability to implement best practices in testing, continuous integration, and deployment strategies, ensuring high-quality software delivery. Strong background in collaborative team environments, utilizing Agile methodologies to enhance productivity and foster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data interaction between front-end applications and back-end services,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streamlined operations and high availability across application infrastructures.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robustness and reliability of software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contributing to improved workflow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build robust software solutions, adhering to the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 and hosting, optimizing infrastructure costs and enhancing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mentored junior developers in best coding practices, fostering a culture of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automating the testing and deployment process, which reduced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troubleshooting and optimizing existing code to improve application efficiency using profiling tools and automated monitoring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containerized applications into CI/CD pipelines, enhancing release frequency and software delivery while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server-side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REST APIs for client-server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complex data flows and database operations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and storage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teams, emphasizing collaborative problem solving and iterative development for continuous software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conducted system performance evaluations using relevant tools, impacting product adjustments and feature enhancements directly.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security best practices in application development to safeguard data integrity and minimize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OOP and design patterns in various projects to enhance code maintainability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cloud services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 management, integrating third-party APIs for enhanced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application architecture and design, focusing on modularity and clear data flow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coding and debugging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IntelliJ IDEA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application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for application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functionality across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creating detailed technical documentation to support development processes and deployment steps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team meetings and strategic planning sessions, driving collective decisions on project specifications and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refactor key components of existing applications, resulting in a reduction of system resource consumption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highly responsive single-page applications (SPAs)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