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 and architecture, specializing in full-stack solutions using Java, Spring Boot, Docker, and AWS. Proven expertise in developing scalable applications, integrating microservices, and implementing CI/CD pipelines. Demonstrated ability to lead teams, enhance software performance,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delivery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performance by refactoring legacy code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system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transitioning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front-end, resulting in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GraphQL APIs to streamline communication between front-end and back-end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deliverables,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performance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developers in best practices and modern tech stacks,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alignment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scalable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execution time through indexing and query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validation mechanisms to protect applications against common vulnerabilities (OWASP standards).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as the Technical Lead on multiple high-impact projects with inter-departmental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user interfaces, resulting in a 25% increase in user engagement and satisfaction surveys.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functions, reducing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 and application lifecycle methodologies, resulting in increased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 and system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contributing to continuous improvement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an e-commerce platform's back-end development, improving system response times by 15% using effective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seamless deployments across different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logging and monitoring capabilities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centralized logging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Maven, Gradle,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