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scalable applications and robust systems using diverse technologies. Proven expertise in architecting, designing, and implementing solutions, showcasing mastery in frameworks like React, Node.js, and Java. Demonstrated ability to engage in the full software development life cycle and delivery of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customer-facing application, enhancing flexibility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speeds by over 30% in comparison to legacy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20% increase in code coverage and a significant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developers to build seamless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speed, leading to reductions in query times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CI/CD pipeline enhancements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performed profiling to optimize back-end processes, resulting in a 25% increase in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promoting best practices in coding and software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of user workflows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Harnessed serverless architecture principles to optimize code deployment, reducing time to market for key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full-stack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enabling efficient CRUD operations and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performance by over 25% through efficient indexing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transaction handling and improving user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retrospectives, and daily stand-ups.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services, which improved local development environments and helped standardize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providing insights into application performance and user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back-end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stability for high-traffic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management of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data-driven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led to improved teacher-student engagement within educational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performance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faster response times by optimizing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across all releases and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requirements gathering and solution design, ensuring technical specifications met business needs comprehensively.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through regular code audits and the implementation of safety measures in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migrations from monolithic to microservices architecture, resulting in a 30% increase in overall application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Express, Spring Boot,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Cypress,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