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full-stack development, specializing in Java, Spring Boot, Microservices, and React. Demonstrated ability to design, develop, and deploy robust applications while leveraging modern frameworks and tools such as Kubernetes, Docker, AWS, and MySQL. Proven track record in leading teams through agile methodologies and ensuring high-quality deliverables through meticulous testing procedures.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decreasing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reducing infrastructure costs by optimizing storage and compute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robust application functionality and minimizing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leading weekly sprint planning sessions to deliver high-quality software in an efficient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APIs and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clear communication amongst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in various services, significantly decreasing load times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enforce best practices and adherence to coding standards, fostering a culture of quality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clean coding and effective debugging techniques, contributing to team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discussions, influencing the overall technology stack to align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a microservices architecture, increasing system reliability and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to facilitate data integration across the organization,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schema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retrieval times.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product team to refine system requirements and establish clear specifications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codebases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maintainability and reduction in system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the quality assurance process by catching issues early in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monitoring and logging system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operational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pair programming sessions, fostering knowledge sharing and improving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to support dynamic front-end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serve data to front-end applications, facilitating better communication and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and authorization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tuning and optimizations that led to a reduction in response times by 25% across multiple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NoSQL data storage solutions, enhancing scalability and flexibility for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by organizing tech talks on best coding practices and new technology trends, fostering a culture of continuous learning. Finally, led the project to completion within a strict timeline, achieving a significant milestone for the company.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Scala, TypeScript,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Hibernate, Vue.js,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Maven, Gradle,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 &amp;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Serverless Architecture, Event-driven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