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11 years in software development, specializing in Java, Spring Boot, and Microservices architecture. Demonstrated expertise in creating scalable and maintainable applications with a focus on high performance and reliability. Committed to continuous improvement and employing best practices in software development through robust testing and automation.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resilience and scalability in system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seamless integration with front-end applications built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scalability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development workflows and improving deployment efficiencies.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test automation and accelerating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methodologies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overall quality of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foster a DevOps culture, integrating infrastructure as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environment provisioning and configuration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cloud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allocation and ensuring system reliability through strategic cloud architectures.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to share knowledge and best practices within the developer community, enhancing collaboration and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development practices and tools, including agile methodologies, code reviews, and best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in software development, emphasizing clean code principles to maintain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APIs to extend application capabilities and streamline user workflows, contributing to increased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real-time data processing pipelines and asynchronous processing within applications, optimizing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effectively handling database relationships and ensuring data integrity across multiple data sources.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the number of defects and improving deployment reliability over multiple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processes for database queries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delivering incremental updates and improvements to existing software products and engaging actively in daily stand-ups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system design discussions, bringing insights about modern software architectural patterns such as CQRS and event sourcing, which impacted project direction positively.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to develop REST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integration points for client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cloud technologies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scalable infrastructure for applications that reduced operational costs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database modeling and management for new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retrieval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smooth collaboration between a distributed development team and facilitating code integration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pair programming sessions to promote best practices and elevate code quality standards across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delivery of software solutions ahead of schedule by improving coding efficiency and adapting to changing requirements, ultimately leading to a 20% increase in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Ruby,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Ansible,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