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and efficient applications. Proficient in Java, Spring Boot, React, and Microservices Architecture. Demonstrated ability to lead technical projects and ensure quality through rigorous testing. Adept at collaborating with cross-functional teams to deliver impactful solutions using the latest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enhancing inter-service communication within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user-friendly frontend interfaces, reducing loading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software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quality and reliability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in an Agile environment, overseeing multiple sprints and project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significantly reduced response times for database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 junior developers, enhancing team performance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manual intervention and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and architecture overhauls, aligning system capabilities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best practices for modular code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robust server-side logic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transaction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reducing boilerplate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careful profiling and optimization strategies, leading to better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building test cases to secure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meetings for continuous process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new features, ensuring clarity and easy onboarding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client-facing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 enhancements and bug fixes in existing applications, improving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define user workflows and interactions, enhancing application usability and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collaboration across teams efficiently and reducing code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tests to ensure secure and high-quality application performance, focusing on user-centric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reliability through regular maintenance and updates, achieving a 15% decrease in reported bugs over fiscal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HTML5, CSS3,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PostgreSQL,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