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full-stack development, specializing in Java, Spring Boot, Hibernate, and cloud technologies. Proven track record in designing, developing, and deploying scalable applications utilizing modern frameworks and libraries while ensuring high performance and responsiveness. Expert in Agile methodologies and experienced in leading cross-functional teams to drive project success. Strong background in application testing and integration ensures code quality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efficiency by implementing best practices in RESTful architecture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scalable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smooth deployments and reduce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streamline application deployment processes, resulting in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development workflow and automating testing protocols for immediate feedback on code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SPA best practices, leading to a user-friendly and responsive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for efficient data handling and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between application layers.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testing sessions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code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and participated in daily stand-ups and sprint retrospectives to optimize team productivity and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providing guidance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related frameworks, while facilitating professional development in software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application monitoring solutions on AWS to ensure high availability and performance of services, significantly reducing incident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bottlenecks, conducting optimization efforts that improved response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efficient user interface and backend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enabling new functionality in existing applications while maintaining a high standard of API documentation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architecture and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enhancing data integrity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an Agile team to fine-tune existing systems and enhance features through iterative cycles, resulting in improved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functionality and reducing defect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facilitating complex SQL queries and ensuring data persistence across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to enhance code maintainability and foster adherence to company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contributing to improved scalability and reduced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range of software projects as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developer, emphasizing clean coding standards and effective design patterns throughout the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usability and performance across various devices and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complex data models to support robust application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effectively within a team, enhancing project transparency and code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RESTful APIs, ensuring efficient data exchange between frontend and backend systems, which improved overall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to conduct thorough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defect rate reduction of 15% by identifying issues earlier in the lifecycle. By employing best practices and automation, the team improved release cycles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Postman, Selenium,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