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full-stack development, specializing in designing, implementing, and optimizing scalable web applications. Proficient in a broad range of technologies, including but not limited to Java, Spring, Angular, and AWS. Proven ability to lead cross-functional teams and deliver high-quality software solutions that drive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response times by optimizing database queries and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responsive, high-performance web interfaces, enhancing user experiences as measured by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times by 30% and improved team workflow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enabling seamless data communication between front-end and back-end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in released software, leading to a 25% decrease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cloud computing and storage solutions, significantly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writing clean, maintainable code using established coding standards while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sprint planning and daily stand-ups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productivity and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microservices architecture that increased application scalability and allowed for independent deployment of services, greatly enhancing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web application speed and reduce load on relational databases, noticeably improving user experience during peak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improving code quality, which resulted in smoother integration and fewer complications during development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implementing industry best practices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including requirement gathering, system design, development, testing, and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response times and enhancing the performance of multiple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communication, ensuring streamlined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management, developing complex queries for data retrieval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increasing code coverage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regarding system improvements and technology adoption, leading initiatives to enhance the current tech stack.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transitions from development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building application components and integrating third-party services for advanced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UI/UX designers to translate design visions into functional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daily scrum meetings and bi-weekly sprint retrospectives to continuously improve project workflow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features in applications, ensuring data protection and compliance with best practices in software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version control systems, particularly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 tracking changes and collaborative coding, enhancing project transparency and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performance and implemented optimizations in existing applications, resulting in improved user satisfaction and operational efficiency. Led initiatives that resulted in a 15% increase in overall system performance by final project evaluation.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HTML, 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Oracle,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Confluence, Slack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