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Python development, specializing in local LLMs, SDKs, and CLI tools. Proficient in packaging for PyPI, Pydantic, and asyncio with strong OS and networking foundations. Demonstrated ability in problem-solving and communication with a focus on building efficient developer tools. Mastery of Python internals including GIL mechanics and C-API with a solid understanding of streaming protocols such as gRPC and HTTP/2.</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focusing on local LLMs, resulting in improved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semantic-versioning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discipline, enhancing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Pydantic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validation and serialization across various services, ensuring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parallel processing tasks, significantly reducing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creation of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images for deployment, streamlining the CI/CD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HTTP/2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streaming protocols within the application architecture, improving latency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Mastered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Python's import 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C-API to enhance dynamic module loading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complex issues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protocols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authored documentation for enhanced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 mentorship program, guiding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enterprise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efficient, scalable applications in demanding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package libraries for internal usage and public distribution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accessibility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communication in various projects,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different versions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to maintain backward compatibility and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high-performing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flexible service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into the continuous integration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documentation and user guides for the various tools and SDKs developed, facilitating easier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adhering to best practices in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legacy applications by rewriting portions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functionality and performance with refined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open-source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concurrent requests, gaining community recognition for contributions.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scenarios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reliability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configurations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GPU drivers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enhanced performance of computation-heavy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system-level monitoring and optimization to reduce application downtime, achieving a significant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implementing best CI/CD practices, enhancing deployment frequency to bi-weekly. Deployments improved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Pydantic, asyncio, multiprocessing, gRPC,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Sockets, WebSockets, HTTP/2, RESTful APIs, FTP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