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high-performance applications. Proven expertise in leveraging cutting-edge technologies to solve complex challenges and improve user experiences. Adept in all phases of the software development lifecycle (SDLC) and committed to maintaining high standards of quality with rigorous testing practices. Strong leadership capabilities combined with deep technical knowledge in backend and frontend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APIs and optimize backend performance,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Hibernate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reviews and ensured adherence to coding standards, mentoring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TypeScript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data-driven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reporting capabilities, improving business intelligence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transitions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infrastructure costs while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in-depth profiling and troubleshooting in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JavaScript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enhance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security best practices in development workflows to protect sensitive data, following OWASP guidelines while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support high-traffic web applications, resulting in improved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accessibility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RESTful APIs effectively for seamless integration between frontend and backend systems, ensuring smooth communication and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Oracle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substantial improvements in transaction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provided constructive feedback, ensuring a consistent coding style and adherence to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user acceptance testing (UAT) phases for new features and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teams to prioritize feature development, crafting a product roadmap that aligns with long-term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transition of monolithic applications to microservices architecture, utilizing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enterprise-level applications with complex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to automate deployment processes, cutting down release times by 40%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develop intuitive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React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troubleshooting for backend processes, significantly enhancing application efficiency under heavy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up-to-date technical documentation for both new and existing applications, facilitating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solutions involving data caching and message queuing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Redis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