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full software development life cycle (SDLC) and a strong focus on delivering high-quality solutions using cutting-edge technologies. Proficient in Java, Spring Boot, Microservices, RESTful APIs, and Cloud Computing. Adept at designing scalable architectures and implementing robust backend services, while also emphasizing agile methodologies for effective project management. Passionate about leveraging modern technologies such as Docker, Kubernetes, and various CI/CD tools to optimize workflows and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that supported seamless communication between multiple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AWS services, enabling automated builds and deployments for smoother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containerized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overhead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by implementing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times significantly without compromising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with other developers and maintaining code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including Scrum, to facilitate iterative development and close collaboration across teams, driving timely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 into application performance and issues, reducing troubleshooting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web-based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with interactive features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storage and retrieval for high-volume transactions throughout the application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encryption techniques to enhance application integrity and protect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response time and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 teams to bridge the gap between graphical design and technical implementation, resulting in enhanced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 processes to maintain high coding standards and efficient workflows, reducing bugs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diminishing response times for frequently accessed data and enhancing performance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interactions to gather and implement feedback into applications constantly, refining user interfaces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which led to improved consistency and speed across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internal documentation for development processes and standards, fostering better consistency and clarity among developer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within existing applications with minimal supervision while ensuring code quality and adhering to style guides.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developers 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their onboarding and integration into established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goals and achievements, contributing to strategic planning and communication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boost application efficiency by improving internal query structures, which led to a 30% increase in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Node.js, Vue.js,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AWS, Azure, GCP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