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and system architecture. Proficient in utilizing various technologies, frameworks, and libraries, including Java, Spring, and Microservices, to architect scalable applications. Expertise in full software development life cycle (SDLC), focusing on backend systems and strong testing practices. Known for collaborating effectively with cross-functional teams to deliver high-quality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improving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efficient database access and transaction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testing framework that improved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enhancing user experience through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standards and architectural design, resulting in improved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deployment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of web applications, ensuring continuous integration and delivery of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communication with end-users and reducing support tickets.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regarding system design,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which directly influenced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flexibility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interactions, supporting extensive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conducted pair programming sessions to elevate coding standards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batch processing and scheduling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Quartz</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Java to enhance data management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integration testing and deployment for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critical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engineers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cohesive and efficient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proper management of code changes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knowledge-sharing sessions to elevate understanding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(SDLC), following Agile methodologies to ensure fast delivery of customer-focused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SQL queries and database access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which improved detection of bugs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that maintained a project zero defect strategy, achieving target defect rates in live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scalable applications supporting up to 10,000 concurrent users,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web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