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leading software development projects utilizing modern technologies and frameworks. Proven expertise in developing scalable applications using Java, Spring Boot, Microservices, and unit testing frameworks. Strong background in Agile methodologies and DevOps practices, notably in CI/CD implementations, ensuring high code quality and delivery efficiency. Exceptional ability in collaborating with cross-functional teams to define system architecture and integrate automated testing. Adept at mentoring junior developers and streamlining development processes, resulting in enhanced productivity and deployment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power internal and external applications, increasing accessibility and integration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enhancing code quality and reducing defect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software delivery through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developers in Agile Scrum methodologies, facilitating sprint planning and daily stand-ups to enhance team communication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connecting seamlessly with backend services to deliver dynamic user experiences and optimize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efficiency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encouraged knowledge sharing for continuous team improvement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providing insights and recommendations based on industry best practices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mobile-friendly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and responsiveness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that significantly decreased technical debt and improved overall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customer engagement and satisfaction through improved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deliver new functionalities and improvements across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product data management, optimizing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automation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regression testing time frames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evaluation and selection of new technology stacks, influencing strategic product direction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and services, providing clarity and guidance for internal and external developers on application usage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critical production issues, implementing immediate solutions that improved system reliability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knowledge sharing sessions and technology workshops, promoting continuous learning and best practices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accompanying libraries, enhancing front-end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CSS methodologies to ensure scalable styles and maintainable UI components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UX designers to translate wireframes and mockups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activities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codebases and facilitating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and gathered user feedback to inform design and functionality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rates through proactive unit testing and bug fixes in the development lifecycle, contributing to a 20% increase in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