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full-stack development, specializing in various technologies including Java, Spring Framework, and cloud services. Proven ability to design, develop, and maintain robust applications, with a strong focus on microservices architecture and agile development practices. Expertise in integrating RESTful APIs and SOAP services, ensuring high performance and responsiveness to requests from the front-end. Solid background in test-driven development and quality assurance, leveraging JUnit, Mockito, and Jest. Adept in collaborating cross-functionally to deliver impactful business solutions, stimulate growth,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restructuring existing code and implementing efficient algorithms.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streamlined data interchange between client and server applications, improving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crafting dynamic user interfaces that increased customer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 processes and scaling solutions dynamically in AWS.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 and enhancing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reliability, achieving a code coverage of over 80%.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quality assurance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testing accuracy and reducing manual testing time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coding, debugging, and version control, fostering a culture of continuous improvement and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optimize application performance and responsiveness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projects, enhancing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significantly reducing data retrieval time and improving overall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actively participating in sprint planning, and retrospectives to align project objectives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development of a multi-tenant application that supported over 10,000 users simultaneously.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management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availability and reliability of data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allowing for enhanced code reusability and maintainability, leading to a reduction in development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validation through SonarQube to maintain code quality across projects, resulting in reduced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to expand application capabilities, ensuring seamless access to external data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 principles that ensured dynamic user experiences across various devices and screen sizes.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that increased team proficiency in emerging technologies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coding standards and enhance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high-traffic e-commerce application, enhancing load times by optimizing server response handling and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streamlining API responses and reducing server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analysis and metrics monitoring to inform decision-making for performance improvements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transforming legacy systems to modern technology stacks, consolidating frameworks into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streamlining maintenance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collaboration with international teams to fine-tune end-user requirements, achieving greater alignment between stakeholder and technical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debug and optimization practices for legacy applications, leading to improved performance in over 25 applications, directly impacting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