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full-cycle application development and implementation using Java, Spring Boot, Microservices, and AWS. Proven expertise in designing scalable, high-performance applications and implementing robust testing frameworks. Adept at utilizing modern DevOps tools and CI/CD pipelines to enhance software delivery efficiency and reliability. Passionate about leveraging cutting-edge technologies and frameworks to innovate and optimize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solutions for diverse applications, ensuring seamless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functionality, and integrated them into frontend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coverage and quality across all delivered software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streamlining workflows and enhancing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requirements and translate them into technical specifications, resulting in over 30 successful project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to enhance application performance and reduce response times in high-traffic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sessions, fostering a culture of best practices and continuous learning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architectural diagrams and documentation to communicate design choices effectively to stakeholders and team members alike.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developed stored procedures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performance improvements of 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daily scrums and sprint planning processes, aligning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(IaC), facilitating easier configuration management and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and responsiveness under peak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existing applications for enhanced functionality,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operations and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stability and reduced defect rates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applying design patterns and refactoring legacy codebases, which improved loading times by approximately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cloud services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infrastructure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 for adopting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structure to improve system resilience and scalability, facilitating smoother transitions during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sessions for application components, utilizing profiling tools for identifying bottlenecks and enhancing overall system throughput.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streamlining environments and reducing discrepancies between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to develop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and interface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methodologies, conducting sprints and retrospectives to continuously improve product deliverables and team velocity.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 that facilitated real-time data processing, improved user engagement, and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automating the testing of various application functionalities to streamline QA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version control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all team members were aligned with the latest code revisions and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Completing the migration of a monolithic application to a microservices architecture yielded a 30% reduction in server costs and enhanced overall system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