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robust web applications and backend services. Proficient in modern software development methodologies with a strong command of Java, Spring Boot, React, and Microservices Architecture. Demonstrated capability in leading engineering initiatives, mentoring junior developers, and implementing advanced testing strategies. Highly skilled in designing scalable applications using cloud technologies and containerization tools. Strong advocate for code quality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which facilitated seamless integration with various frontend frameworks,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efficiency and performance for running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through thorough code reviews and by providing mentorship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to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maintainability in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gathering client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architecture, working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strategies to address bottlenecks in microservices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efforts, improving team velocity by initiating a refined sprint planning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and enhancing development lifecycle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high-performance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improvement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of REST API design and development, consistently exceeding project requirements and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significantly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strong code coverage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refactoring processes, and assurance of code quality,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 meetings and contributed to sprint retrospectives, leading to a more effective team collaboration in project pivots.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new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conventions and project structures, enhancing onboarding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overhaul of a legacy application by switching its core functionalities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development cycles and easier frontend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database schemas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among team members and streamlining code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sessions with the team, leading to quicker resolution of critical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application performance metrics, resulting in improved architecture and overall user satisfaction. Created documentation for educational purposes, simplifying complex system components for stakeholders.88% of clients reported satisfaction with the new features introduced.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Jest, JUnit,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