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Engineer with over 11 years of extensive experience in designing and developing innovative software solutions and architectures. Proven expertise in full-cycle application development, using cutting-edge technologies like Java, Spring Boot, React, and Microservices architecture. Strong experience in unit and integration testing, utilizing tools such as JUnit and Mockito. Excellent problem-solver dedicated to improving efficiency and ensuring high standards in fast-paced development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simplify deployment processes and enhance system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intuitive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significant improvements in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across various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for junior engineers, fostering a culture of quality and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APIs and backend services, resulting in a measurable performance increase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stakeholders to define technical specifications and project timelines, reducing delivery cycles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downtime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the reliability of applications during load variations.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participated in Scrum ceremonies, effectively contributing to sprint planning, daily stand-ups,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extensive documentation on architecture and codebases to enhance knowledge sharing and project onboarding.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practices, consistently delivering high-quality software on tight deadlines.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of a cloud-based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accessibility for users across devices and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seamless interaction between frontend and backend services, prioritizing security and data integrity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storage mechanics.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reducing the likelihood of regression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reviews, advocating for best practices and modern approaches to software design and implementation.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external APIs, improving the overall functionality of applications and expanding feature 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legacy systems by refactoring outdated code and reducing technical debt, transitioning towards modern methodologies and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services (AWS) to deploy applications, facilitating greater flexibility and scalability for the business.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in existing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user experience and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advanced search capabilities, significantly improving data retrieval times for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an Agile team, participating in sprints and code reviews, while contributing to the enhancement of team practices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SQL databases, optimizing queries to improve performance and reduce costs associated with resource usage.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troubleshooting, problem-solving, and debugging activities to maintain high availability and performance of production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the migration of legacy applications to microservices architecture, resulting in a 30% reduction in hosting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