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Broad-based expertise as a Senior Engineer, with 11 years of hands-on experience in software development, systems architecture, and technology integration. Proficient in various programming languages and frameworks, including Java, Python, .NET, and React. Strong aptitude for developing robust applications, optimizing performance, and implementing best practices in software development. Proven ability to lead projects and teams, enhancing efficiency and business outcomes through innovative technological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efficiency by implementing containerization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cloud-based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operational costs and enhanced service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rigorous testing and refactoring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backend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across distributed systems for mobile and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back-ends, enhancing user engagement and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to ensure adherence to best practices and coding standards, fostering a culture of learning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providing guidance on best development practices and new technologies, which led to improved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streamlined deployment processes and reduced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database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performance by optimizing queries and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deployed architectures and APIs, facilitating better understanding for stakeholders and maintenance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of applications, improving the overall quality assurance process and reducing regression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high-performance solutions across various industries.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that handled over 10,000 concurrent users while maintaining low latency and high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data models,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retrieval times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which enhanced project delivery timelines and stakeholder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translate requirements into intuitive application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version control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collaboration across distributed teams, reducing merge conflicts and integration issues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reviews and design discussions to ensure code quality and alignment with project standards, promoting a collaborative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decreasing defect rates.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front-end performance and user experience during initial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server management and deployment,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commands and virtual machine setups for application hosting.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extend functionality and improve service offerings, adapting to changing project requirements dynamically.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of existing applications, leading to improved efficiency and reduced resource consumption.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Demonstrated effective problem-solving skills by resolving critical bugs in production environments, ensuring high availability of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resulting in successful project completions, leading to a 25% increase in overall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