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specializing in high-performance software development, architecture, and technology leadership. Proficient in a broad range of programming languages, frameworks, and development tools, with a strong focus on delivering scalable, maintainable solutions. Demonstrated expertise in Java, Spring Boot, Microservices, and AWS, along with testing frameworks. Committed to best practices in software design and development processes, leveraging continuous integration and deployment methodologies to enhance software quality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modularity and separation of concerns for complex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a cloud-native environment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by 40% and enhancing overall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backed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in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time to deployment and ensuring consistent delivery of high-quality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from 65% to 85%, which improved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automating application scaling and management that improved system uptime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front-end teams to integrate user interfaces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end-user experiences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performance tuning of database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30% faster execution times for critical user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mentoring junior developers in best practices, and fostering a culture of code quality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real-time data processing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application processing capacity for analytics-driven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resulting in increased deployment consistency and reduced infrastructure management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scalability across multiple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responsive user interfaces that interacted with backend services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lightweight microservices, optimizing API response time and resource consumption.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an Agile environment to deliver features in iterative cycles, collaborating closely with product owners and stakeholders for optimal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which significantly reduced backend load and improved application response time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effective data retrieval strategies that contributed to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end-to-end testing, ensuring critical paths within the application remained bug-free before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collaborative development and streamlined project contributions.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mobile-friendly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cohesive user experience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code maintainability and type safety for large-scale JavaScript applications, allowing for better developer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automated testing benchmarks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detection of UI regressions before deployment – resulting in fewer production issues and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task automation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workflows and reducing manual operations across several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Investigated and resolved system performance bottlenecks, achieving a 25% increase in load handling on core services by fine-tuning application logic and infrastructure.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gathered stakeholder feedback to iterate on functionality and improve user engagement, leading to a 15% increase in user satisfaction over project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Flask, Express.js,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 CircleCI,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DynamoDB,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TestNG, Gatling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