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application security, secure coding practices, and vulnerability assessments. Proficient in a wide range of security frameworks, methodologies, and technologies used in modern software development. Demonstrated ability in leading security initiatives, implementing best practices in secure software development, and enhancing application security posture across diverse platforms. Adept at collaborating with cross-functional teams to deliver secure solutions while minimizing risk and ensuring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security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vulnerabilities in applications, significantly improving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secure coding training program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static code analysis across teams, leading to a measurable reduction in security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threat model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enhancing understanding of potential security threats in application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introduce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CI/CD pipelines, ensuring consistent security practices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penetration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vulnerabilities and overseeing remediation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vulnerability management processes through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to security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conversations about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CIS Benchmarks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ISO 27001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secure application development, enforcing code review processes to mitigate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integrate secure patterns in product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secure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SANS Top 25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vulnerabilities, fostering a culture of security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workshops on security best practices, increasing overall team efficiency and security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security principles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features into applications to enhance data protection measures on cloud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security testing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development lifecycle, improving time-to-detect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application security architectures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NIST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leading to improved compliance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improved application performance and security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microservices and consistent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security audits, documenting findings and presented remediation plans to stakeholders utilizing risk assessment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implement security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CloudTrail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Security Center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secure coding documentation and train-the-trainer programs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industry standards in code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security-related features, ensuring comprehensive coverage and defect reduction.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overall risk management in service exposure.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security vulnerabilities, utilizing static analysis tools as well as manual reviews to detect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security champions program within Agile teams to promote proactive security measures and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reduced the number of vulnerabilities in legacy applications by 40% through targeted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NIST, CIS Benchmarks, SANS Top 25, ISO 27001</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Nessus, SonarQube, OWASP ZAP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