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developing and scaling AI/ML systems. Expertise in Python, PyTorch, and neural networks. Proven ability to transform research into production systems with emphasis on real-time decision-making and mathematical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distributed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transforming research into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neural network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real-time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patent-protected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engineering teams, fostering a culture of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IP strategies to enhance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patent portfolio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around AI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Interface with strategic partners to advance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engineering processes for code quality and performance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systems testing for low-latency processing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and privacy mechanisms using industry-standard protocols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integration of multi-agent coordination architectures within the AI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optimize data workflows leading to improved decision-making.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production-grade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scale, focusing on data-driven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software development and data engineering.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system architecture decisions for machine learning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workflows and reduce processing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algorithms for better performance in real-time systems and reduced latency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statistical analysis and modeling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insights on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project requirements and data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end-to-end lifecycle of feature development, ensuring quality and security compliance.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data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monitored existing data systems, ensuring reliability and uptime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statistical models for business intelligence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and integration of data from legacy systems to modern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quality assurance and testing procedures for data integrity and security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projects under tight deadlines, contributing to a 30% increase in data processing speeds.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Apache Spark, Airflow, Kafka,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OAuth, JWT, GDPR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