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building scalable data infrastructures. Proficient in Python, SQL, dbt, and healthcare standards like FHIR and HL7. Experienced in architecting robust data pipelines and enabling AI workflows for transformational healthcare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batch and real-time streaming ingestion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w:t>
      </w:r>
      <w:r w:rsidRPr="00432203">
        <w:rPr>
          <w:rFonts w:asciiTheme="minorHAnsi" w:hAnsiTheme="minorHAnsi" w:cstheme="majorHAnsi"/>
          <w:b/>
          <w:bCs/>
          <w:lang w:val="en-US"/>
        </w:rPr>
        <w:t xml:space="preserve">PHI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-compliant infrastructure from scratch, ensuring adherence to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for sensitive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ontology-driven healthcare data model integrating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streamline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AI workflows by integrating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and knowledge graph features for advanced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operational dashboards leveraging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visibility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 and deployment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platform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performance evaluations of data systems to optimize for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clinical and product teams to align data architecture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on best practices and governance standards for data handling and infrastructure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change data capture (CDC) techniques to improve data synchronization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systems to accommodate 10,000+ active users in a high-growth healthcare environment.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of high-throughput data ingestion pipelines with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ETL processes and enhance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robust data warehousing solutions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data modeling techniques and best practices for database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implement machine learning models and analytics solutions tailored for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quality checks and validation processes to ensure accurate reporting and compliance standards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governance protocols for managing sensitive healthcare data, fostering a culture of compliance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 efforts to modern data architectures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scope for data engineering initiatives, ensuring timely delivery of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data collection and reporting systems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high-availability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data pipelines and optimized performance for querying large datasets in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for feature definition and implementation of data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from legacy systems to modern platforms, ensuring minimal disruption to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data engineering procedures, enhancing knowledge sharing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processing times by 20% through optimization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storage solutions.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dbt, Apache Kafka, Apache Airflow, Spark, Hive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Redshift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Standards</w:t>
      </w:r>
      <w:r>
        <w:rPr>
          <w:rFonts w:asciiTheme="minorHAnsi" w:hAnsiTheme="minorHAnsi" w:cstheme="majorHAnsi"/>
          <w:lang w:val="en-US"/>
        </w:rPr>
        <w:t xml:space="preserve">: FHIR, HL7, SNOMED CT, 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w:t>
      </w:r>
      <w:r>
        <w:rPr>
          <w:rFonts w:asciiTheme="minorHAnsi" w:hAnsiTheme="minorHAnsi" w:cstheme="majorHAnsi"/>
          <w:lang w:val="en-US"/>
        </w:rPr>
        <w:t xml:space="preserve">: HIPAA Compliance, Data Security, PII Management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