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specializing in backend development. Proven expertise in designing, developing, and optimizing robust backend systems. Adept in collaboration with cross-functional teams to deliver high-performance applications. Experienced with cutting-edge technologies in fintech and blockchain, ready to contribute to innovative solutions in the digital asset space.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high-performance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security for web and mobile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extensively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through seamless integration of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architecture that supports high transaction volumes pertinent to fintech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solutions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storage and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reduce latency during peak transaction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foster a culture of technical excellence, leading code reviews and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 and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and managing scalable infrastructure, focusing on security best practices and cost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for emerging technologies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fintech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suggesting innovative improvements to system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collaboration within DevOps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CI/CD processes for rapid deployment and integration of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backend services, ensuring compliance with fintech regulatory standards and enhancing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onboarding documents and conducted sessions for new developers to integrate them into the agile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developed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applying design patterns and principles that promote maintainability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tooling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team productivity and streamline workflows across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queries, and enhancing data management practices which provided insights for better decision 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 to gain actionable insights into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Participation in cross-functional team meetings with product managers and designers to define application requirements and ensure seamless delivery of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thorough documentation of system architecture and API endpoints, facilitating better understanding for future development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actively participating in sprints and daily stand-ups to track progress and realign priorities as necessary.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architectures, reducing operational costs and increasing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functionality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 models and relationships between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supported various application requirements, ensuring data integrity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success by developing unit and integration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directly improving code reliability and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messaging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communication between microservices, enhancing system resiliency.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continuous integration and deployment efforts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greater development velocity without compromising on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legacy system architectures, enhancing their performance ratings significantly, resulting in a 40% decrease in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Entity Framework, Django, Spring Boot, Node.js, React,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Microsoft SQL Server, Redis, DynamoDB,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&amp; Hosting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Kafka, RabbitMQ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NUnit, MSTest, Postman,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