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software engineering with a strong focus on Ruby, Ruby on Rails, and complex system design. Proven ability in architecting secure, reliable, and observable systems while leading cross-team initiatives. Strong full-stack capabilities, including HTML, CSS, and JavaScript.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technical direction and delivery for a core product area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multi-team initiatives, balancing product needs with architectural stability and extensibility.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Architecture Committee, defining effective architectural guidelines for scalable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secure and observable systems by implementing robust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evolve APIs with a focus on performance optimization and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Model best practices in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high-impact features with an emphasis on incremental delivery and economic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architectural reviews and make risk-balanced decisions to support immediate and long-term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to transform fuzzy requirements into actionable, shippable plans.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and owned components of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to improve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RESTful APIs, ensuring robust data contracts and schema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and refactoring to optimize legacy code,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to understand product vision and align development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initiatives, deploying applications seamlessly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offering constructive feedback and promoting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core feature implementation in applications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effective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reliability and security while addressing critical performance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creating cross-browser compatible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capabilities, ensuring compliance with best practices and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and quality assurance initiatives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collaboration and code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Vue, Stimulus, ActiveRecord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Selenium, RSpec,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New Relic, OpenTelemetry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