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DevOps, AWS, and GCP cloud environments. Proven track record of implementing CI/CD pipelines, automating infrastructure, and enhancing system performance. Adept at collaborating with cross-functional teams to deliver value-driven technological solutions. Strong knowledge in best practices for cloud technologies, container orchestration with Kubernetes, and Terraform for infrastructure as code. Excels in Agile methodologies and thrives in high-pressure environments, aiming to elevate operational efficiency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rapid deployment cycles and reduced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provisioning, effectively managing resources across multi-cloud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resulting in streamlined environments and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scaling and reliability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custom metrics, enhancing the monitoring capabilities of cloud-hosted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development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continuously integrate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hardening and compliance policies on cloud resources, ensuring best practices are adhered to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log management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visibility and faster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testing of infrastructure and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event-driven architectures, reducing processing time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clustered containers and ensuring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stable deployments during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performance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applications, reducing build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performance monitoring and logging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 on critical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DevSecOps practices to embed security throughout the CI/CD pipeline, achieving faster vulnerability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enforcing branching strategies for better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analysis and improving code maintainability, ensuring high standards across the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deployment processes, leading to a 30% increase in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resource management, facilitating seamless scaling of infrastructure as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with cross-functional teams to ensure rapid iterations of software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cloud infrastructure and deployment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improvements through code review practices, ensuring quality and performance optimization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migration project involving transitioning applications from internal servers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smoother user experience. The project yielded a system performance increase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OpenStack,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Rancher, Helm,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CloudFormation, Pulumi, Chef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