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AI-powered solutions. Proficient in Python, C++, and deep learning frameworks. Specialized in medical imaging technologies deployment and optimization, enhancing clinical workflows with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for medical imaging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image enhancement algorithms improving scan quality and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and maintain AI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Quality Management System (QMS) activities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13485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IEC 62304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 plans and performed rigorous testing on newly developed algorithms to ensure reliability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implemented logging mechanisms for problem detection in AI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a new image processing tool, significantly enhancing speed and capabilities in clinical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 specifications and assisted in patent applications for several technological advancements.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training and validation datasets, ensuring data security and compliance with privacy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documented comprehensive training measures for team members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components for medical imaging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diagnostic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software engineering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build systems and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engineering of FDA-cleared software by following regulatory standards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IEC 62366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image processing algorithms, improving performance metrics by evaluating results with test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initiatives, ensuring high-quality code standards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processing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analysis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within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software functionalities for imaging systems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and addressed integration issues to ensure consistent software performance in hospital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upgrade outdated image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cases for system components, contributing to quality assurance efforts through rigorous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senior engineers to troubleshoot and optimize existing codebases for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by delivering features on time and aiding in test execution, achieving a 95% deployment success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PyTorch, OpenCV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Pandas, NumPy, Dask,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Medical Imaging Technologies</w:t>
      </w:r>
      <w:r>
        <w:rPr>
          <w:rFonts w:asciiTheme="minorHAnsi" w:hAnsiTheme="minorHAnsi" w:cstheme="majorHAnsi"/>
          <w:lang w:val="en-US"/>
        </w:rPr>
        <w:t xml:space="preserve">: DICOM, MRI, CT, X-ray, AI/ML Medical Devices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