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11 years of hands-on experience in developing high-performance, low-latency financial trading systems. Expert in designing and implementing resilient backend services using .NET Core and C++ for regulated financial markets, with a penchant for mentoring junior engineers and driving architectural decisions. Proven ability to deliver production-grade code while ensuring compliance with financial regulations including CFTC and NFA. Adept at collaborating with cross-functional teams in cloud-native environments, primarily utilizing AWS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low-latency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Order Management System (OMS)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trade execution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deploying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messaging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performant communication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trading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compliant financial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establishing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regulatory compliance modules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CFTC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NFA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reconciliation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accurate reporting and balance management for back-office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interfaces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user experiences for application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deployments, improving the deployment frequency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engineering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features and ensure smooth integration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monitoring and troubleshooting capabilities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third-party services to allow accelerated delivery and optimize production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trading systems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low-latency execution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reactive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establish system architectures that complied with financial regulations,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CFTC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NFA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exposed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internal services, enabling robust communication between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and system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practices that incorporated behavior-driven development (BDD)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high-quality code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for complex financial processes, ensuring separation of concerns and scalability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onboarded junior engineers, sharing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audits and compliance checks, ensuring that development adhered to financial regulations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scalable backend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maintainability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streamline data flow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trading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functionality of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compliance teams to ensure product features were developed according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NFA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CFTC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in financial applications, optimizing user interactions with external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DevOps principles by establishing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deployment efficiency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disaster recovery and data security, ensuring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Kafka,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EC2, EKS, DynamoDB,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Systems, API Gateway, Infrastructure-as-Code,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CFTC, NFA, PCI-DSS, OWASP, Secure Coding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