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in Ruby on Rails, React, and Postgres. Proven expertise in architecture, development, and maintaining mission-critical applications. Passionate about constructing efficient, user-centric solutions in the Fintech space.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led the development of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user engagement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pipelines, ensuring robust deployment practices and reducing time-to-release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functionalities and delivery timelines, focusing on customer-first approaches.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complete application lifecycle, from concept to deployment, for critical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Fintech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in construction finance.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by providing guidance on coding standards, best practices, and performance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technical prototypes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Hotwire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product roadmap with innovative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debugging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high software quality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efficient database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performance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tools to enhance application reliability and end-user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Extended legacy application features while ensuring backward compatibility and seamless user transitions to the new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improvement, efficiency, and innovation within the engineering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and scalable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developers, fostering their growth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teams, participating in sprint planning, reviews, and retrospectives to improve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complex features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ecosystem, enhancing user interactions and backend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and reducing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optimal application performance through database optimization and efficient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existing legacy systems to a modern stack, improving maintainability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input on system architecture to improve scalability and efficiency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Sidekiq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robust and maintainable code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fixed bugs in existing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to ensure adherence to best practices and maintainability within the engineering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gather requirements and produce reliable software solutions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and schema design,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storage.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the deployment of applications to live environments with zero downtime.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React Native, Hotwire, Tailwind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Sidekiq,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</w:t>
      </w:r>
      <w:r>
        <w:rPr>
          <w:rFonts w:asciiTheme="minorHAnsi" w:hAnsiTheme="minorHAnsi" w:cstheme="majorHAnsi"/>
          <w:lang w:val="en-US"/>
        </w:rPr>
        <w:t xml:space="preserve">: React Native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