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architecting and developing high-impact applications across the technology stack. Proficient in TypeScript, React, and Node.js, with a proven track record of transforming complex data into actionable insights. Passionate about user experience, performance optimization, and delivering production-grade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RESTful API architecture for seamless data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user-centric UIs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application performance, improving initial loading times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storage and retrieval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performance; integrated CI/CD pipelines for consistent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processing workflows in Python, building data pipelines that facilitated the transformation of unstructured datasets into actionable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best practices in coding standards, design patterns, and collaborative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processes, improving operational efficiency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API consumption experience for frontend developers, leading to increased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internal design reviews, focusing on enhancing UX/UI design principles to drive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prioritize and manage project workflows, consistently delivering features that align with customer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full-cycle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efficient data flow between frontend and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dynamic layouts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improving user interface accessibility and optimizing loading times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Hooks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databases,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design schemas and manage complex queries efficiently,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following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specifications, enhancing documentation for enhanced developer experience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to elevate code quality and share knowledge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front-end solutions optimized for mobile and desktop platforms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quarterly architecture reviews that improved scalability and maintainability of applications, aligning with best practices for enterprise-scale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troubleshoot and resolved performance bottlenecks using monitoring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robust back-end logic and integration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 designers to implement innovative user experiences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projects,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across distributed teams, fostering efficient project management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automated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robustness before production releases, improving deployment success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cloud deployment strategies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scalability,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instances.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reduced application downtime by 30% through database indexing strategies and query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Angular, Bootstrap, Tailwind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FastAPI, Django,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PostgreSQL, MongoDB, Redis,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