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of experience specializing in React, TypeScript, and modern CSS. Proven track record in building scalable, high-performance applications with a focus on user-centric design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and maintained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speed and responsiveness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develop an extensive component library and design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techniques for enhanced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CI/CD pipelines to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automation workflows for deployment on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user-oriented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accessibility best practices ensuring compliance with ARIA and WCAG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design solutions to foster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strategic planning for product scaling as they transitioned from pre-seed to Series A.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through component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implementing best practices for frontend technologies,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in new features, improving release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product teams to translate requirements into intuitive interfaces and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component libraries through modular design principles while collaborating with UX designers.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on existing applications using modern development tools and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in preparation for transition to newer frameworks and modern paradigms.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CI/CD implementations, automating build and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scalable user interfaces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architectural patterns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maintain a high standard of code quality and testing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solutions addressing UI challenges critically affecting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hands-on coding to meet aggressive deadlines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knowledge sharing across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CSS, Styled Components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Jest, Cypress,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Vercel, Netlify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