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developing full-stack solutions. Proficient in React, TypeScript, Node.js, Python, and PostgreSQL, with a focus on AI-native enterprise SaaS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core architecture of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AI-native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facilitating document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real-time asynchronous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interactivity 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multi-tenant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strong data isolation and tenant awareness.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architectural decisions, driving the evolution of the system to support agentic AI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optimizing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pgvector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vector-based searches.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service synchronization in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document ingestion pipelines,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PDF parsing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structured data normalization for improved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code quality and system security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workflows, facilitating enhanced document intelligence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methodologies. Onboarded team members into existing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 responsiveness and user experience in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development and service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that supported complex data interactions for enterprise applications, ensuring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job queue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efficiency of asynchronous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improved team throughput through knowledge sharing and technical guidance.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that shaped the direction of the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integration of document processing systems, focusing on efficiency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high-quality standards in code with rigorous testing and continuous integration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in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components on tight schedules.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business logic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RESTful APIs, focusing on data exchange and service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monitoring and observability features within the application stack to support performance tuning.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new feature set that resulted in a 25% increase in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FastAPI, Tailwind,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Tools</w:t>
      </w:r>
      <w:r>
        <w:rPr>
          <w:rFonts w:asciiTheme="minorHAnsi" w:hAnsiTheme="minorHAnsi" w:cstheme="majorHAnsi"/>
          <w:lang w:val="en-US"/>
        </w:rPr>
        <w:t xml:space="preserve">: OpenAI, LangChain, pgvector, OCR,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lang w:val="en-US"/>
        </w:rPr>
        <w:t xml:space="preserve">: RESTful APIs, Microservices, SaaS, Event-driven architecture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